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D86C7" w14:textId="77777777" w:rsidR="004659BE" w:rsidRPr="00371C9A" w:rsidRDefault="004659BE" w:rsidP="004659BE">
      <w:pPr>
        <w:ind w:right="-755"/>
        <w:jc w:val="center"/>
        <w:rPr>
          <w:rFonts w:ascii="Book Antiqua" w:hAnsi="Book Antiqua"/>
          <w:sz w:val="20"/>
          <w:szCs w:val="20"/>
        </w:rPr>
      </w:pPr>
    </w:p>
    <w:p w14:paraId="21F7F1F4" w14:textId="77777777" w:rsidR="004659BE" w:rsidRPr="00371C9A" w:rsidRDefault="004659BE" w:rsidP="004659BE">
      <w:pPr>
        <w:ind w:right="-755"/>
        <w:jc w:val="center"/>
        <w:rPr>
          <w:rFonts w:ascii="Book Antiqua" w:hAnsi="Book Antiqua"/>
          <w:sz w:val="20"/>
          <w:szCs w:val="20"/>
        </w:rPr>
      </w:pPr>
    </w:p>
    <w:p w14:paraId="793B0DB0" w14:textId="64F83AE3" w:rsidR="004659BE" w:rsidRPr="00CA56AB" w:rsidRDefault="004659BE" w:rsidP="004659BE">
      <w:pPr>
        <w:ind w:right="-755"/>
        <w:jc w:val="center"/>
        <w:rPr>
          <w:rFonts w:ascii="Book Antiqua" w:hAnsi="Book Antiqua"/>
          <w:sz w:val="52"/>
          <w:szCs w:val="52"/>
        </w:rPr>
      </w:pPr>
      <w:r w:rsidRPr="00CA56AB">
        <w:rPr>
          <w:rFonts w:ascii="Book Antiqua" w:hAnsi="Book Antiqua"/>
          <w:sz w:val="52"/>
          <w:szCs w:val="52"/>
        </w:rPr>
        <w:t>INNOKAIZ INDIA LIMITED</w:t>
      </w:r>
    </w:p>
    <w:p w14:paraId="557227D4" w14:textId="4CDB1AD7" w:rsidR="00CA56AB" w:rsidRPr="00371C9A" w:rsidRDefault="00CA56AB" w:rsidP="004659BE">
      <w:pPr>
        <w:ind w:right="-755"/>
        <w:jc w:val="center"/>
        <w:rPr>
          <w:rFonts w:ascii="Book Antiqua" w:hAnsi="Book Antiqua"/>
          <w:sz w:val="44"/>
          <w:szCs w:val="44"/>
        </w:rPr>
      </w:pPr>
      <w:r>
        <w:rPr>
          <w:rFonts w:ascii="Book Antiqua" w:hAnsi="Book Antiqua"/>
          <w:sz w:val="44"/>
          <w:szCs w:val="44"/>
        </w:rPr>
        <w:t xml:space="preserve">CIN: </w:t>
      </w:r>
      <w:r w:rsidRPr="00CA56AB">
        <w:rPr>
          <w:rFonts w:ascii="Book Antiqua" w:hAnsi="Book Antiqua"/>
          <w:sz w:val="44"/>
          <w:szCs w:val="44"/>
        </w:rPr>
        <w:t>U74900TN2013PLC089349</w:t>
      </w:r>
    </w:p>
    <w:p w14:paraId="4A293C2D" w14:textId="77777777" w:rsidR="004659BE" w:rsidRPr="00371C9A" w:rsidRDefault="004659BE">
      <w:pPr>
        <w:ind w:right="-755"/>
        <w:rPr>
          <w:rFonts w:ascii="Book Antiqua" w:hAnsi="Book Antiqua"/>
          <w:sz w:val="44"/>
          <w:szCs w:val="44"/>
        </w:rPr>
      </w:pPr>
    </w:p>
    <w:p w14:paraId="0F7B7A38" w14:textId="77777777" w:rsidR="004659BE" w:rsidRPr="00371C9A" w:rsidRDefault="004659BE">
      <w:pPr>
        <w:ind w:right="-755"/>
        <w:rPr>
          <w:rFonts w:ascii="Book Antiqua" w:hAnsi="Book Antiqua"/>
          <w:sz w:val="44"/>
          <w:szCs w:val="44"/>
        </w:rPr>
      </w:pPr>
    </w:p>
    <w:p w14:paraId="22EA6595" w14:textId="53138998" w:rsidR="004659BE" w:rsidRPr="00371C9A" w:rsidRDefault="009950B3" w:rsidP="004659BE">
      <w:pPr>
        <w:ind w:right="-755"/>
        <w:jc w:val="center"/>
        <w:rPr>
          <w:rFonts w:ascii="Book Antiqua" w:hAnsi="Book Antiqua"/>
          <w:sz w:val="44"/>
          <w:szCs w:val="44"/>
        </w:rPr>
      </w:pPr>
      <w:r w:rsidRPr="00371C9A">
        <w:rPr>
          <w:rFonts w:ascii="Book Antiqua" w:hAnsi="Book Antiqua"/>
          <w:sz w:val="44"/>
          <w:szCs w:val="44"/>
        </w:rPr>
        <w:t>POLICY</w:t>
      </w:r>
      <w:r>
        <w:rPr>
          <w:rFonts w:ascii="Book Antiqua" w:hAnsi="Book Antiqua"/>
          <w:sz w:val="44"/>
          <w:szCs w:val="44"/>
        </w:rPr>
        <w:t xml:space="preserve"> ON MATERIALITY OF RELATED PARTY TRANSACTIONS</w:t>
      </w:r>
    </w:p>
    <w:p w14:paraId="3001627F" w14:textId="77777777" w:rsidR="004659BE" w:rsidRPr="00371C9A" w:rsidRDefault="004659BE">
      <w:pPr>
        <w:ind w:right="-755"/>
        <w:rPr>
          <w:rFonts w:ascii="Book Antiqua" w:hAnsi="Book Antiqua"/>
          <w:sz w:val="44"/>
          <w:szCs w:val="44"/>
        </w:rPr>
      </w:pPr>
      <w:r w:rsidRPr="00371C9A">
        <w:rPr>
          <w:rFonts w:ascii="Book Antiqua" w:hAnsi="Book Antiqua"/>
          <w:sz w:val="44"/>
          <w:szCs w:val="44"/>
        </w:rPr>
        <w:br w:type="page"/>
      </w:r>
    </w:p>
    <w:p w14:paraId="5828E9B6" w14:textId="732861EB" w:rsidR="00343DA3" w:rsidRDefault="009950B3" w:rsidP="004659BE">
      <w:pPr>
        <w:ind w:right="-755"/>
        <w:jc w:val="center"/>
        <w:rPr>
          <w:rFonts w:ascii="Book Antiqua" w:hAnsi="Book Antiqua"/>
          <w:sz w:val="20"/>
          <w:szCs w:val="20"/>
        </w:rPr>
      </w:pPr>
      <w:r w:rsidRPr="009950B3">
        <w:rPr>
          <w:rFonts w:ascii="Book Antiqua" w:hAnsi="Book Antiqua"/>
          <w:sz w:val="20"/>
          <w:szCs w:val="20"/>
        </w:rPr>
        <w:lastRenderedPageBreak/>
        <w:t>POLICY ON MATERIALITY OF RELATED PARTY TRANSACTIONS</w:t>
      </w:r>
    </w:p>
    <w:p w14:paraId="4900FF6F" w14:textId="77777777" w:rsidR="009950B3" w:rsidRDefault="009950B3" w:rsidP="004659BE">
      <w:pPr>
        <w:ind w:right="-755"/>
        <w:jc w:val="center"/>
        <w:rPr>
          <w:rFonts w:ascii="Book Antiqua" w:hAnsi="Book Antiqua"/>
          <w:sz w:val="20"/>
          <w:szCs w:val="20"/>
        </w:rPr>
      </w:pPr>
    </w:p>
    <w:p w14:paraId="2D3D6E22" w14:textId="77777777" w:rsidR="009950B3" w:rsidRPr="009950B3" w:rsidRDefault="009950B3" w:rsidP="009950B3">
      <w:pPr>
        <w:ind w:right="-755"/>
        <w:jc w:val="both"/>
        <w:rPr>
          <w:rFonts w:ascii="Book Antiqua" w:hAnsi="Book Antiqua"/>
          <w:b/>
          <w:bCs/>
          <w:sz w:val="20"/>
          <w:szCs w:val="20"/>
        </w:rPr>
      </w:pPr>
      <w:r w:rsidRPr="009950B3">
        <w:rPr>
          <w:rFonts w:ascii="Book Antiqua" w:hAnsi="Book Antiqua"/>
          <w:b/>
          <w:bCs/>
          <w:sz w:val="20"/>
          <w:szCs w:val="20"/>
        </w:rPr>
        <w:t>PREFACE</w:t>
      </w:r>
    </w:p>
    <w:p w14:paraId="4DE7F126" w14:textId="0120013D" w:rsidR="009950B3" w:rsidRPr="009950B3" w:rsidRDefault="009950B3" w:rsidP="009950B3">
      <w:pPr>
        <w:ind w:right="-755"/>
        <w:jc w:val="both"/>
        <w:rPr>
          <w:rFonts w:ascii="Book Antiqua" w:hAnsi="Book Antiqua"/>
          <w:sz w:val="20"/>
          <w:szCs w:val="20"/>
        </w:rPr>
      </w:pPr>
      <w:r w:rsidRPr="009950B3">
        <w:rPr>
          <w:rFonts w:ascii="Book Antiqua" w:hAnsi="Book Antiqua"/>
          <w:sz w:val="20"/>
          <w:szCs w:val="20"/>
        </w:rPr>
        <w:t>INNOKAIZ INDIA LIMITED has always been committed to good corporate governance practices, including</w:t>
      </w:r>
      <w:r>
        <w:rPr>
          <w:rFonts w:ascii="Book Antiqua" w:hAnsi="Book Antiqua"/>
          <w:sz w:val="20"/>
          <w:szCs w:val="20"/>
        </w:rPr>
        <w:t xml:space="preserve"> </w:t>
      </w:r>
      <w:r w:rsidRPr="009950B3">
        <w:rPr>
          <w:rFonts w:ascii="Book Antiqua" w:hAnsi="Book Antiqua"/>
          <w:sz w:val="20"/>
          <w:szCs w:val="20"/>
        </w:rPr>
        <w:t>in matters relating to Related Party Transactions and endeavour is consistently made to have only</w:t>
      </w:r>
      <w:r>
        <w:rPr>
          <w:rFonts w:ascii="Book Antiqua" w:hAnsi="Book Antiqua"/>
          <w:sz w:val="20"/>
          <w:szCs w:val="20"/>
        </w:rPr>
        <w:t xml:space="preserve"> </w:t>
      </w:r>
      <w:r w:rsidRPr="009950B3">
        <w:rPr>
          <w:rFonts w:ascii="Book Antiqua" w:hAnsi="Book Antiqua"/>
          <w:sz w:val="20"/>
          <w:szCs w:val="20"/>
        </w:rPr>
        <w:t>arms’ length transactions with Related Parties.</w:t>
      </w:r>
    </w:p>
    <w:p w14:paraId="25E5CCCB" w14:textId="48D74630" w:rsidR="009950B3" w:rsidRDefault="009950B3" w:rsidP="009950B3">
      <w:pPr>
        <w:ind w:right="-755"/>
        <w:jc w:val="both"/>
        <w:rPr>
          <w:rFonts w:ascii="Book Antiqua" w:hAnsi="Book Antiqua"/>
          <w:sz w:val="20"/>
          <w:szCs w:val="20"/>
        </w:rPr>
      </w:pPr>
      <w:r w:rsidRPr="009950B3">
        <w:rPr>
          <w:rFonts w:ascii="Book Antiqua" w:hAnsi="Book Antiqua"/>
          <w:sz w:val="20"/>
          <w:szCs w:val="20"/>
        </w:rPr>
        <w:t>All Related Party Transactions (RPT), as that term is defined in this policy, shall be subject to review</w:t>
      </w:r>
      <w:r>
        <w:rPr>
          <w:rFonts w:ascii="Book Antiqua" w:hAnsi="Book Antiqua"/>
          <w:sz w:val="20"/>
          <w:szCs w:val="20"/>
        </w:rPr>
        <w:t xml:space="preserve"> </w:t>
      </w:r>
      <w:r w:rsidRPr="009950B3">
        <w:rPr>
          <w:rFonts w:ascii="Book Antiqua" w:hAnsi="Book Antiqua"/>
          <w:sz w:val="20"/>
          <w:szCs w:val="20"/>
        </w:rPr>
        <w:t>in accordance with the procedures set forth below. The Board has determined that the Audit</w:t>
      </w:r>
      <w:r>
        <w:rPr>
          <w:rFonts w:ascii="Book Antiqua" w:hAnsi="Book Antiqua"/>
          <w:sz w:val="20"/>
          <w:szCs w:val="20"/>
        </w:rPr>
        <w:t xml:space="preserve"> </w:t>
      </w:r>
      <w:r w:rsidRPr="009950B3">
        <w:rPr>
          <w:rFonts w:ascii="Book Antiqua" w:hAnsi="Book Antiqua"/>
          <w:sz w:val="20"/>
          <w:szCs w:val="20"/>
        </w:rPr>
        <w:t>Committee (the “Committee”) is best suited to review all Related Party Transactions.</w:t>
      </w:r>
    </w:p>
    <w:p w14:paraId="48216EA3" w14:textId="77777777" w:rsidR="009950B3" w:rsidRPr="009950B3" w:rsidRDefault="009950B3" w:rsidP="009950B3">
      <w:pPr>
        <w:ind w:right="-755"/>
        <w:jc w:val="both"/>
        <w:rPr>
          <w:rFonts w:ascii="Book Antiqua" w:hAnsi="Book Antiqua"/>
          <w:sz w:val="20"/>
          <w:szCs w:val="20"/>
        </w:rPr>
      </w:pPr>
      <w:r w:rsidRPr="009950B3">
        <w:rPr>
          <w:rFonts w:ascii="Book Antiqua" w:hAnsi="Book Antiqua"/>
          <w:sz w:val="20"/>
          <w:szCs w:val="20"/>
        </w:rPr>
        <w:t>DEFINITIONS</w:t>
      </w:r>
    </w:p>
    <w:p w14:paraId="16F0E910" w14:textId="439CF2A5" w:rsidR="009950B3" w:rsidRPr="009950B3" w:rsidRDefault="009950B3" w:rsidP="009950B3">
      <w:pPr>
        <w:ind w:right="-755"/>
        <w:jc w:val="both"/>
        <w:rPr>
          <w:rFonts w:ascii="Book Antiqua" w:hAnsi="Book Antiqua"/>
          <w:sz w:val="20"/>
          <w:szCs w:val="20"/>
        </w:rPr>
      </w:pPr>
      <w:r w:rsidRPr="009950B3">
        <w:rPr>
          <w:rFonts w:ascii="Book Antiqua" w:hAnsi="Book Antiqua"/>
          <w:sz w:val="20"/>
          <w:szCs w:val="20"/>
        </w:rPr>
        <w:t xml:space="preserve">A ‘related party is a person or entity that is related to the company. Parties / Entities </w:t>
      </w:r>
      <w:proofErr w:type="gramStart"/>
      <w:r w:rsidRPr="009950B3">
        <w:rPr>
          <w:rFonts w:ascii="Book Antiqua" w:hAnsi="Book Antiqua"/>
          <w:sz w:val="20"/>
          <w:szCs w:val="20"/>
        </w:rPr>
        <w:t>are considered to</w:t>
      </w:r>
      <w:r>
        <w:rPr>
          <w:rFonts w:ascii="Book Antiqua" w:hAnsi="Book Antiqua"/>
          <w:sz w:val="20"/>
          <w:szCs w:val="20"/>
        </w:rPr>
        <w:t xml:space="preserve"> </w:t>
      </w:r>
      <w:r w:rsidRPr="009950B3">
        <w:rPr>
          <w:rFonts w:ascii="Book Antiqua" w:hAnsi="Book Antiqua"/>
          <w:sz w:val="20"/>
          <w:szCs w:val="20"/>
        </w:rPr>
        <w:t>be</w:t>
      </w:r>
      <w:proofErr w:type="gramEnd"/>
      <w:r w:rsidRPr="009950B3">
        <w:rPr>
          <w:rFonts w:ascii="Book Antiqua" w:hAnsi="Book Antiqua"/>
          <w:sz w:val="20"/>
          <w:szCs w:val="20"/>
        </w:rPr>
        <w:t xml:space="preserve"> related if an entity shall be considered as related to the company if:(</w:t>
      </w:r>
      <w:proofErr w:type="spellStart"/>
      <w:r w:rsidRPr="009950B3">
        <w:rPr>
          <w:rFonts w:ascii="Book Antiqua" w:hAnsi="Book Antiqua"/>
          <w:sz w:val="20"/>
          <w:szCs w:val="20"/>
        </w:rPr>
        <w:t>i</w:t>
      </w:r>
      <w:proofErr w:type="spellEnd"/>
      <w:r w:rsidRPr="009950B3">
        <w:rPr>
          <w:rFonts w:ascii="Book Antiqua" w:hAnsi="Book Antiqua"/>
          <w:sz w:val="20"/>
          <w:szCs w:val="20"/>
        </w:rPr>
        <w:t>) such entity is a related party</w:t>
      </w:r>
      <w:r>
        <w:rPr>
          <w:rFonts w:ascii="Book Antiqua" w:hAnsi="Book Antiqua"/>
          <w:sz w:val="20"/>
          <w:szCs w:val="20"/>
        </w:rPr>
        <w:t xml:space="preserve"> </w:t>
      </w:r>
      <w:r w:rsidRPr="009950B3">
        <w:rPr>
          <w:rFonts w:ascii="Book Antiqua" w:hAnsi="Book Antiqua"/>
          <w:sz w:val="20"/>
          <w:szCs w:val="20"/>
        </w:rPr>
        <w:t>under Section 2(76) of the Companies Act, 2013; or (ii) such entity is a related party under the</w:t>
      </w:r>
      <w:r>
        <w:rPr>
          <w:rFonts w:ascii="Book Antiqua" w:hAnsi="Book Antiqua"/>
          <w:sz w:val="20"/>
          <w:szCs w:val="20"/>
        </w:rPr>
        <w:t xml:space="preserve"> </w:t>
      </w:r>
      <w:r w:rsidRPr="009950B3">
        <w:rPr>
          <w:rFonts w:ascii="Book Antiqua" w:hAnsi="Book Antiqua"/>
          <w:sz w:val="20"/>
          <w:szCs w:val="20"/>
        </w:rPr>
        <w:t>applicable accounting standards.</w:t>
      </w:r>
    </w:p>
    <w:p w14:paraId="52C47564" w14:textId="1A3BEB98" w:rsidR="009950B3" w:rsidRDefault="009950B3" w:rsidP="009950B3">
      <w:pPr>
        <w:ind w:right="-755"/>
        <w:jc w:val="both"/>
        <w:rPr>
          <w:rFonts w:ascii="Book Antiqua" w:hAnsi="Book Antiqua"/>
          <w:sz w:val="20"/>
          <w:szCs w:val="20"/>
        </w:rPr>
      </w:pPr>
      <w:r w:rsidRPr="009950B3">
        <w:rPr>
          <w:rFonts w:ascii="Book Antiqua" w:hAnsi="Book Antiqua"/>
          <w:sz w:val="20"/>
          <w:szCs w:val="20"/>
        </w:rPr>
        <w:t>Materiality of Related Party Transactions means a transaction with a related party shall be considered</w:t>
      </w:r>
      <w:r>
        <w:rPr>
          <w:rFonts w:ascii="Book Antiqua" w:hAnsi="Book Antiqua"/>
          <w:sz w:val="20"/>
          <w:szCs w:val="20"/>
        </w:rPr>
        <w:t xml:space="preserve"> </w:t>
      </w:r>
      <w:r w:rsidRPr="009950B3">
        <w:rPr>
          <w:rFonts w:ascii="Book Antiqua" w:hAnsi="Book Antiqua"/>
          <w:sz w:val="20"/>
          <w:szCs w:val="20"/>
        </w:rPr>
        <w:t>material if the transaction/transactions to be entered into individually or taken together with previous</w:t>
      </w:r>
      <w:r>
        <w:rPr>
          <w:rFonts w:ascii="Book Antiqua" w:hAnsi="Book Antiqua"/>
          <w:sz w:val="20"/>
          <w:szCs w:val="20"/>
        </w:rPr>
        <w:t xml:space="preserve"> </w:t>
      </w:r>
      <w:r w:rsidRPr="009950B3">
        <w:rPr>
          <w:rFonts w:ascii="Book Antiqua" w:hAnsi="Book Antiqua"/>
          <w:sz w:val="20"/>
          <w:szCs w:val="20"/>
        </w:rPr>
        <w:t>transactions during a financial year exceed ten percent of the annual turnover of the company as per</w:t>
      </w:r>
      <w:r>
        <w:rPr>
          <w:rFonts w:ascii="Book Antiqua" w:hAnsi="Book Antiqua"/>
          <w:sz w:val="20"/>
          <w:szCs w:val="20"/>
        </w:rPr>
        <w:t xml:space="preserve"> </w:t>
      </w:r>
      <w:r w:rsidRPr="009950B3">
        <w:rPr>
          <w:rFonts w:ascii="Book Antiqua" w:hAnsi="Book Antiqua"/>
          <w:sz w:val="20"/>
          <w:szCs w:val="20"/>
        </w:rPr>
        <w:t>the last audited financial statements of the company."</w:t>
      </w:r>
    </w:p>
    <w:p w14:paraId="6909ECCB" w14:textId="7E150006" w:rsidR="009950B3" w:rsidRDefault="009950B3" w:rsidP="009950B3">
      <w:pPr>
        <w:ind w:right="-755"/>
        <w:jc w:val="both"/>
        <w:rPr>
          <w:rFonts w:ascii="Book Antiqua" w:hAnsi="Book Antiqua"/>
          <w:sz w:val="20"/>
          <w:szCs w:val="20"/>
        </w:rPr>
      </w:pPr>
      <w:r w:rsidRPr="009950B3">
        <w:rPr>
          <w:rFonts w:ascii="Book Antiqua" w:hAnsi="Book Antiqua"/>
          <w:sz w:val="20"/>
          <w:szCs w:val="20"/>
        </w:rPr>
        <w:t>PROCEDURES</w:t>
      </w:r>
    </w:p>
    <w:p w14:paraId="55701AC4" w14:textId="77777777" w:rsidR="009950B3" w:rsidRDefault="009950B3" w:rsidP="009950B3">
      <w:pPr>
        <w:pStyle w:val="ListParagraph"/>
        <w:numPr>
          <w:ilvl w:val="0"/>
          <w:numId w:val="5"/>
        </w:numPr>
        <w:ind w:left="426" w:right="-755" w:hanging="426"/>
        <w:jc w:val="both"/>
        <w:rPr>
          <w:rFonts w:ascii="Book Antiqua" w:hAnsi="Book Antiqua"/>
          <w:sz w:val="20"/>
          <w:szCs w:val="20"/>
        </w:rPr>
      </w:pPr>
      <w:r w:rsidRPr="009950B3">
        <w:rPr>
          <w:rFonts w:ascii="Book Antiqua" w:hAnsi="Book Antiqua"/>
          <w:sz w:val="20"/>
          <w:szCs w:val="20"/>
        </w:rPr>
        <w:t>All Related Party Transactions (RPTs) of the company as prescribed under the Companies Act,</w:t>
      </w:r>
      <w:r w:rsidRPr="009950B3">
        <w:rPr>
          <w:rFonts w:ascii="Book Antiqua" w:hAnsi="Book Antiqua"/>
          <w:sz w:val="20"/>
          <w:szCs w:val="20"/>
        </w:rPr>
        <w:t xml:space="preserve"> </w:t>
      </w:r>
      <w:r w:rsidRPr="009950B3">
        <w:rPr>
          <w:rFonts w:ascii="Book Antiqua" w:hAnsi="Book Antiqua"/>
          <w:sz w:val="20"/>
          <w:szCs w:val="20"/>
        </w:rPr>
        <w:t>2013 and SEBI (Listing Obligations and Disclosure Requirements) Regulations, 2015 will be</w:t>
      </w:r>
      <w:r w:rsidRPr="009950B3">
        <w:rPr>
          <w:rFonts w:ascii="Book Antiqua" w:hAnsi="Book Antiqua"/>
          <w:sz w:val="20"/>
          <w:szCs w:val="20"/>
        </w:rPr>
        <w:t xml:space="preserve"> </w:t>
      </w:r>
      <w:r w:rsidRPr="009950B3">
        <w:rPr>
          <w:rFonts w:ascii="Book Antiqua" w:hAnsi="Book Antiqua"/>
          <w:sz w:val="20"/>
          <w:szCs w:val="20"/>
        </w:rPr>
        <w:t>approved by the audit committee of the Board from time to time.</w:t>
      </w:r>
    </w:p>
    <w:p w14:paraId="333887BF" w14:textId="77777777" w:rsidR="009950B3" w:rsidRDefault="009950B3" w:rsidP="009950B3">
      <w:pPr>
        <w:pStyle w:val="ListParagraph"/>
        <w:numPr>
          <w:ilvl w:val="0"/>
          <w:numId w:val="5"/>
        </w:numPr>
        <w:ind w:left="426" w:right="-755" w:hanging="426"/>
        <w:jc w:val="both"/>
        <w:rPr>
          <w:rFonts w:ascii="Book Antiqua" w:hAnsi="Book Antiqua"/>
          <w:sz w:val="20"/>
          <w:szCs w:val="20"/>
        </w:rPr>
      </w:pPr>
      <w:r w:rsidRPr="009950B3">
        <w:rPr>
          <w:rFonts w:ascii="Book Antiqua" w:hAnsi="Book Antiqua"/>
          <w:sz w:val="20"/>
          <w:szCs w:val="20"/>
        </w:rPr>
        <w:t>Each Director who is a Related Party with respect to a particular Related Party Transaction shall</w:t>
      </w:r>
      <w:r w:rsidRPr="009950B3">
        <w:rPr>
          <w:rFonts w:ascii="Book Antiqua" w:hAnsi="Book Antiqua"/>
          <w:sz w:val="20"/>
          <w:szCs w:val="20"/>
        </w:rPr>
        <w:t xml:space="preserve"> </w:t>
      </w:r>
      <w:r w:rsidRPr="009950B3">
        <w:rPr>
          <w:rFonts w:ascii="Book Antiqua" w:hAnsi="Book Antiqua"/>
          <w:sz w:val="20"/>
          <w:szCs w:val="20"/>
        </w:rPr>
        <w:t>disclose all material informationtotheCommitteeconcerningsuchRelatedPartyTransactionand his</w:t>
      </w:r>
      <w:r w:rsidRPr="009950B3">
        <w:rPr>
          <w:rFonts w:ascii="Book Antiqua" w:hAnsi="Book Antiqua"/>
          <w:sz w:val="20"/>
          <w:szCs w:val="20"/>
        </w:rPr>
        <w:t xml:space="preserve"> </w:t>
      </w:r>
      <w:r w:rsidRPr="009950B3">
        <w:rPr>
          <w:rFonts w:ascii="Book Antiqua" w:hAnsi="Book Antiqua"/>
          <w:sz w:val="20"/>
          <w:szCs w:val="20"/>
        </w:rPr>
        <w:t>or her interest in such transaction.</w:t>
      </w:r>
    </w:p>
    <w:p w14:paraId="2E2F47BD" w14:textId="2B9BBAE1" w:rsidR="009950B3" w:rsidRPr="009950B3" w:rsidRDefault="009950B3" w:rsidP="009950B3">
      <w:pPr>
        <w:pStyle w:val="ListParagraph"/>
        <w:numPr>
          <w:ilvl w:val="0"/>
          <w:numId w:val="5"/>
        </w:numPr>
        <w:ind w:left="426" w:right="-755" w:hanging="426"/>
        <w:jc w:val="both"/>
        <w:rPr>
          <w:rFonts w:ascii="Book Antiqua" w:hAnsi="Book Antiqua"/>
          <w:sz w:val="20"/>
          <w:szCs w:val="20"/>
        </w:rPr>
      </w:pPr>
      <w:r w:rsidRPr="009950B3">
        <w:rPr>
          <w:rFonts w:ascii="Book Antiqua" w:hAnsi="Book Antiqua"/>
          <w:sz w:val="20"/>
          <w:szCs w:val="20"/>
        </w:rPr>
        <w:t>Management shall present to the Audit Committee the following information, to the extent</w:t>
      </w:r>
      <w:r>
        <w:rPr>
          <w:rFonts w:ascii="Book Antiqua" w:hAnsi="Book Antiqua"/>
          <w:sz w:val="20"/>
          <w:szCs w:val="20"/>
        </w:rPr>
        <w:t xml:space="preserve"> </w:t>
      </w:r>
      <w:r w:rsidRPr="009950B3">
        <w:rPr>
          <w:rFonts w:ascii="Book Antiqua" w:hAnsi="Book Antiqua"/>
          <w:sz w:val="20"/>
          <w:szCs w:val="20"/>
        </w:rPr>
        <w:t>relevant, with respect to actual or potential Related Party Transactions:</w:t>
      </w:r>
    </w:p>
    <w:p w14:paraId="7DAC7C13" w14:textId="47BB7674" w:rsidR="009950B3" w:rsidRDefault="009950B3" w:rsidP="009950B3">
      <w:pPr>
        <w:pStyle w:val="ListParagraph"/>
        <w:numPr>
          <w:ilvl w:val="0"/>
          <w:numId w:val="6"/>
        </w:numPr>
        <w:ind w:left="851" w:right="-755" w:hanging="425"/>
        <w:jc w:val="both"/>
        <w:rPr>
          <w:rFonts w:ascii="Book Antiqua" w:hAnsi="Book Antiqua"/>
          <w:sz w:val="20"/>
          <w:szCs w:val="20"/>
        </w:rPr>
      </w:pPr>
      <w:r w:rsidRPr="009950B3">
        <w:rPr>
          <w:rFonts w:ascii="Book Antiqua" w:hAnsi="Book Antiqua"/>
          <w:sz w:val="20"/>
          <w:szCs w:val="20"/>
        </w:rPr>
        <w:t>A general description of the transaction(s), including the name of the related party and</w:t>
      </w:r>
      <w:r w:rsidRPr="009950B3">
        <w:rPr>
          <w:rFonts w:ascii="Book Antiqua" w:hAnsi="Book Antiqua"/>
          <w:sz w:val="20"/>
          <w:szCs w:val="20"/>
        </w:rPr>
        <w:t xml:space="preserve"> </w:t>
      </w:r>
      <w:r w:rsidRPr="009950B3">
        <w:rPr>
          <w:rFonts w:ascii="Book Antiqua" w:hAnsi="Book Antiqua"/>
          <w:sz w:val="20"/>
          <w:szCs w:val="20"/>
        </w:rPr>
        <w:t>nature of relationship, duration of the contract and particulars of the contract or arrangement,</w:t>
      </w:r>
      <w:r w:rsidRPr="009950B3">
        <w:rPr>
          <w:rFonts w:ascii="Book Antiqua" w:hAnsi="Book Antiqua"/>
          <w:sz w:val="20"/>
          <w:szCs w:val="20"/>
        </w:rPr>
        <w:t xml:space="preserve"> </w:t>
      </w:r>
      <w:r w:rsidRPr="009950B3">
        <w:rPr>
          <w:rFonts w:ascii="Book Antiqua" w:hAnsi="Book Antiqua"/>
          <w:sz w:val="20"/>
          <w:szCs w:val="20"/>
        </w:rPr>
        <w:t xml:space="preserve">maximum amount of transaction that can be </w:t>
      </w:r>
      <w:proofErr w:type="gramStart"/>
      <w:r w:rsidRPr="009950B3">
        <w:rPr>
          <w:rFonts w:ascii="Book Antiqua" w:hAnsi="Book Antiqua"/>
          <w:sz w:val="20"/>
          <w:szCs w:val="20"/>
        </w:rPr>
        <w:t>entered into</w:t>
      </w:r>
      <w:proofErr w:type="gramEnd"/>
      <w:r w:rsidRPr="009950B3">
        <w:rPr>
          <w:rFonts w:ascii="Book Antiqua" w:hAnsi="Book Antiqua"/>
          <w:sz w:val="20"/>
          <w:szCs w:val="20"/>
        </w:rPr>
        <w:t>, the material terms and conditions.</w:t>
      </w:r>
    </w:p>
    <w:p w14:paraId="26C6AC24" w14:textId="54766D86" w:rsidR="009950B3" w:rsidRDefault="009950B3" w:rsidP="009950B3">
      <w:pPr>
        <w:pStyle w:val="ListParagraph"/>
        <w:numPr>
          <w:ilvl w:val="0"/>
          <w:numId w:val="6"/>
        </w:numPr>
        <w:ind w:left="851" w:right="-755" w:hanging="425"/>
        <w:jc w:val="both"/>
        <w:rPr>
          <w:rFonts w:ascii="Book Antiqua" w:hAnsi="Book Antiqua"/>
          <w:sz w:val="20"/>
          <w:szCs w:val="20"/>
        </w:rPr>
      </w:pPr>
      <w:r w:rsidRPr="009950B3">
        <w:rPr>
          <w:rFonts w:ascii="Book Antiqua" w:hAnsi="Book Antiqua"/>
          <w:sz w:val="20"/>
          <w:szCs w:val="20"/>
        </w:rPr>
        <w:t>The Related Party’s interest in the transaction(s), including the Related Party’s position or relationship with, or ownership of, any entity that is a party to or has an interest in the transaction(s).</w:t>
      </w:r>
    </w:p>
    <w:p w14:paraId="1D65ACDD" w14:textId="5CEB64B0" w:rsidR="009950B3" w:rsidRDefault="009950B3" w:rsidP="009950B3">
      <w:pPr>
        <w:pStyle w:val="ListParagraph"/>
        <w:numPr>
          <w:ilvl w:val="0"/>
          <w:numId w:val="6"/>
        </w:numPr>
        <w:ind w:left="851" w:right="-755" w:hanging="425"/>
        <w:jc w:val="both"/>
        <w:rPr>
          <w:rFonts w:ascii="Book Antiqua" w:hAnsi="Book Antiqua"/>
          <w:sz w:val="20"/>
          <w:szCs w:val="20"/>
        </w:rPr>
      </w:pPr>
      <w:r w:rsidRPr="009950B3">
        <w:rPr>
          <w:rFonts w:ascii="Book Antiqua" w:hAnsi="Book Antiqua"/>
          <w:sz w:val="20"/>
          <w:szCs w:val="20"/>
        </w:rPr>
        <w:t>The manner of determining the pricing and other commercial terms, the indicative base price/ current contracted price and the formula for variation in the price if any</w:t>
      </w:r>
      <w:r>
        <w:rPr>
          <w:rFonts w:ascii="Book Antiqua" w:hAnsi="Book Antiqua"/>
          <w:sz w:val="20"/>
          <w:szCs w:val="20"/>
        </w:rPr>
        <w:t>.</w:t>
      </w:r>
    </w:p>
    <w:p w14:paraId="2418A1E2" w14:textId="4CB18B1F" w:rsidR="009950B3" w:rsidRDefault="009950B3" w:rsidP="009950B3">
      <w:pPr>
        <w:pStyle w:val="ListParagraph"/>
        <w:numPr>
          <w:ilvl w:val="0"/>
          <w:numId w:val="6"/>
        </w:numPr>
        <w:ind w:left="851" w:right="-755" w:hanging="425"/>
        <w:jc w:val="both"/>
        <w:rPr>
          <w:rFonts w:ascii="Book Antiqua" w:hAnsi="Book Antiqua"/>
          <w:sz w:val="20"/>
          <w:szCs w:val="20"/>
        </w:rPr>
      </w:pPr>
      <w:r w:rsidRPr="009950B3">
        <w:rPr>
          <w:rFonts w:ascii="Book Antiqua" w:hAnsi="Book Antiqua"/>
          <w:sz w:val="20"/>
          <w:szCs w:val="20"/>
        </w:rPr>
        <w:t>Any advance paid or received for the contract or arrangement, if any and the approximate value of the transaction(s) and the approximate value of the Related Party’s interest in the transaction(s)</w:t>
      </w:r>
    </w:p>
    <w:p w14:paraId="1F0404A7" w14:textId="7BCDDE98" w:rsidR="009950B3" w:rsidRDefault="009950B3" w:rsidP="009950B3">
      <w:pPr>
        <w:pStyle w:val="ListParagraph"/>
        <w:numPr>
          <w:ilvl w:val="0"/>
          <w:numId w:val="6"/>
        </w:numPr>
        <w:ind w:left="851" w:right="-755" w:hanging="425"/>
        <w:jc w:val="both"/>
        <w:rPr>
          <w:rFonts w:ascii="Book Antiqua" w:hAnsi="Book Antiqua"/>
          <w:sz w:val="20"/>
          <w:szCs w:val="20"/>
        </w:rPr>
      </w:pPr>
      <w:r w:rsidRPr="009950B3">
        <w:rPr>
          <w:rFonts w:ascii="Book Antiqua" w:hAnsi="Book Antiqua"/>
          <w:sz w:val="20"/>
          <w:szCs w:val="20"/>
        </w:rPr>
        <w:t xml:space="preserve">In the case of a lease or other transaction providing for periodic payments or </w:t>
      </w:r>
      <w:proofErr w:type="spellStart"/>
      <w:r w:rsidRPr="009950B3">
        <w:rPr>
          <w:rFonts w:ascii="Book Antiqua" w:hAnsi="Book Antiqua"/>
          <w:sz w:val="20"/>
          <w:szCs w:val="20"/>
        </w:rPr>
        <w:t>installments</w:t>
      </w:r>
      <w:proofErr w:type="spellEnd"/>
      <w:r w:rsidRPr="009950B3">
        <w:rPr>
          <w:rFonts w:ascii="Book Antiqua" w:hAnsi="Book Antiqua"/>
          <w:sz w:val="20"/>
          <w:szCs w:val="20"/>
        </w:rPr>
        <w:t xml:space="preserve">, the aggregate amount of all periodic payments or </w:t>
      </w:r>
      <w:proofErr w:type="spellStart"/>
      <w:r w:rsidRPr="009950B3">
        <w:rPr>
          <w:rFonts w:ascii="Book Antiqua" w:hAnsi="Book Antiqua"/>
          <w:sz w:val="20"/>
          <w:szCs w:val="20"/>
        </w:rPr>
        <w:t>installments</w:t>
      </w:r>
      <w:proofErr w:type="spellEnd"/>
      <w:r w:rsidRPr="009950B3">
        <w:rPr>
          <w:rFonts w:ascii="Book Antiqua" w:hAnsi="Book Antiqua"/>
          <w:sz w:val="20"/>
          <w:szCs w:val="20"/>
        </w:rPr>
        <w:t xml:space="preserve"> expected to be made in the financial year.</w:t>
      </w:r>
    </w:p>
    <w:p w14:paraId="54F95280" w14:textId="77BB9A49" w:rsidR="009950B3" w:rsidRDefault="009950B3" w:rsidP="009950B3">
      <w:pPr>
        <w:pStyle w:val="ListParagraph"/>
        <w:numPr>
          <w:ilvl w:val="0"/>
          <w:numId w:val="6"/>
        </w:numPr>
        <w:ind w:left="851" w:right="-755" w:hanging="425"/>
        <w:jc w:val="both"/>
        <w:rPr>
          <w:rFonts w:ascii="Book Antiqua" w:hAnsi="Book Antiqua"/>
          <w:sz w:val="20"/>
          <w:szCs w:val="20"/>
        </w:rPr>
      </w:pPr>
      <w:r w:rsidRPr="009950B3">
        <w:rPr>
          <w:rFonts w:ascii="Book Antiqua" w:hAnsi="Book Antiqua"/>
          <w:sz w:val="20"/>
          <w:szCs w:val="20"/>
        </w:rPr>
        <w:t>In the case of indebtedness, the aggregate amount of principal to be outstanding and the rate or amount of interest to be payable on such indebtedness.</w:t>
      </w:r>
    </w:p>
    <w:p w14:paraId="3A3DFF6A" w14:textId="05FC652F" w:rsidR="009950B3" w:rsidRDefault="009950B3" w:rsidP="009950B3">
      <w:pPr>
        <w:pStyle w:val="ListParagraph"/>
        <w:numPr>
          <w:ilvl w:val="0"/>
          <w:numId w:val="6"/>
        </w:numPr>
        <w:ind w:left="851" w:right="-755" w:hanging="425"/>
        <w:jc w:val="both"/>
        <w:rPr>
          <w:rFonts w:ascii="Book Antiqua" w:hAnsi="Book Antiqua"/>
          <w:sz w:val="20"/>
          <w:szCs w:val="20"/>
        </w:rPr>
      </w:pPr>
      <w:r w:rsidRPr="009950B3">
        <w:rPr>
          <w:rFonts w:ascii="Book Antiqua" w:hAnsi="Book Antiqua"/>
          <w:sz w:val="20"/>
          <w:szCs w:val="20"/>
        </w:rPr>
        <w:t>Whether all factors relevant to the contract have been considered, if not, the details of factors not considered with the rationale for not considering those factors and any other material information regarding the transaction(s) or the Related Party’s interest in the transaction(s).</w:t>
      </w:r>
    </w:p>
    <w:p w14:paraId="3AD11E0F" w14:textId="77777777" w:rsidR="009950B3" w:rsidRDefault="009950B3" w:rsidP="009950B3">
      <w:pPr>
        <w:ind w:right="-755"/>
        <w:jc w:val="both"/>
        <w:rPr>
          <w:rFonts w:ascii="Book Antiqua" w:hAnsi="Book Antiqua"/>
          <w:sz w:val="20"/>
          <w:szCs w:val="20"/>
        </w:rPr>
      </w:pPr>
    </w:p>
    <w:p w14:paraId="19B277BA" w14:textId="77777777" w:rsidR="009950B3" w:rsidRDefault="009950B3" w:rsidP="009950B3">
      <w:pPr>
        <w:ind w:right="-755"/>
        <w:jc w:val="both"/>
        <w:rPr>
          <w:rFonts w:ascii="Book Antiqua" w:hAnsi="Book Antiqua"/>
          <w:sz w:val="20"/>
          <w:szCs w:val="20"/>
        </w:rPr>
      </w:pPr>
    </w:p>
    <w:p w14:paraId="12369CF0" w14:textId="45AF211B" w:rsidR="009950B3" w:rsidRDefault="009950B3" w:rsidP="009950B3">
      <w:pPr>
        <w:ind w:right="-755"/>
        <w:jc w:val="both"/>
        <w:rPr>
          <w:rFonts w:ascii="Book Antiqua" w:hAnsi="Book Antiqua"/>
          <w:sz w:val="20"/>
          <w:szCs w:val="20"/>
        </w:rPr>
      </w:pPr>
      <w:r w:rsidRPr="009950B3">
        <w:rPr>
          <w:rFonts w:ascii="Book Antiqua" w:hAnsi="Book Antiqua"/>
          <w:sz w:val="20"/>
          <w:szCs w:val="20"/>
        </w:rPr>
        <w:lastRenderedPageBreak/>
        <w:t>4. Consent of the Board and the Shareholders would also be taken in respect of all RPTs, provided that such consent would not be required in the following cases:</w:t>
      </w:r>
    </w:p>
    <w:p w14:paraId="3A66E831" w14:textId="5F98EF19" w:rsidR="009950B3" w:rsidRDefault="009950B3" w:rsidP="009950B3">
      <w:pPr>
        <w:pStyle w:val="ListParagraph"/>
        <w:numPr>
          <w:ilvl w:val="0"/>
          <w:numId w:val="7"/>
        </w:numPr>
        <w:ind w:right="-755"/>
        <w:jc w:val="both"/>
        <w:rPr>
          <w:rFonts w:ascii="Book Antiqua" w:hAnsi="Book Antiqua"/>
          <w:sz w:val="20"/>
          <w:szCs w:val="20"/>
        </w:rPr>
      </w:pPr>
      <w:r w:rsidRPr="009950B3">
        <w:rPr>
          <w:rFonts w:ascii="Book Antiqua" w:hAnsi="Book Antiqua"/>
          <w:sz w:val="20"/>
          <w:szCs w:val="20"/>
        </w:rPr>
        <w:t>The transactions are entered into by the company in its ordinary course of business and are on an arms’ length basis; and</w:t>
      </w:r>
    </w:p>
    <w:p w14:paraId="220FA2EC" w14:textId="2790C07A" w:rsidR="009950B3" w:rsidRDefault="009950B3" w:rsidP="009950B3">
      <w:pPr>
        <w:pStyle w:val="ListParagraph"/>
        <w:numPr>
          <w:ilvl w:val="0"/>
          <w:numId w:val="7"/>
        </w:numPr>
        <w:ind w:right="-755"/>
        <w:jc w:val="both"/>
        <w:rPr>
          <w:rFonts w:ascii="Book Antiqua" w:hAnsi="Book Antiqua"/>
          <w:sz w:val="20"/>
          <w:szCs w:val="20"/>
        </w:rPr>
      </w:pPr>
      <w:r w:rsidRPr="009950B3">
        <w:rPr>
          <w:rFonts w:ascii="Book Antiqua" w:hAnsi="Book Antiqua"/>
          <w:sz w:val="20"/>
          <w:szCs w:val="20"/>
        </w:rPr>
        <w:t>The transaction / transactions to be entered into individually or taken together with previous transactions during a financial year does not exceed ten percent of the annual consolidated turnover of the company as per the last audited financial statements of the company.</w:t>
      </w:r>
    </w:p>
    <w:p w14:paraId="5CECE769" w14:textId="77777777" w:rsidR="009950B3" w:rsidRDefault="009950B3" w:rsidP="009950B3">
      <w:pPr>
        <w:ind w:right="-755"/>
        <w:jc w:val="both"/>
        <w:rPr>
          <w:rFonts w:ascii="Book Antiqua" w:hAnsi="Book Antiqua"/>
          <w:sz w:val="20"/>
          <w:szCs w:val="20"/>
        </w:rPr>
      </w:pPr>
    </w:p>
    <w:p w14:paraId="3AECEA97" w14:textId="0FE1EA4F" w:rsidR="009950B3" w:rsidRDefault="009950B3" w:rsidP="009950B3">
      <w:pPr>
        <w:ind w:right="-755"/>
        <w:jc w:val="both"/>
        <w:rPr>
          <w:rFonts w:ascii="Book Antiqua" w:hAnsi="Book Antiqua"/>
          <w:sz w:val="20"/>
          <w:szCs w:val="20"/>
        </w:rPr>
      </w:pPr>
      <w:r>
        <w:rPr>
          <w:rFonts w:ascii="Book Antiqua" w:hAnsi="Book Antiqua"/>
          <w:sz w:val="20"/>
          <w:szCs w:val="20"/>
        </w:rPr>
        <w:t xml:space="preserve">5. </w:t>
      </w:r>
      <w:r w:rsidRPr="009950B3">
        <w:rPr>
          <w:rFonts w:ascii="Book Antiqua" w:hAnsi="Book Antiqua"/>
          <w:sz w:val="20"/>
          <w:szCs w:val="20"/>
        </w:rPr>
        <w:t>Where Board consent/shareholders’ approval is required as per para4 above, a) the agenda of the Board meeting at which there solution is proposed to be moved and b) explanatory statement to be annexed to the notice of such general meeting, shall disclose all such details/ information about the contract as are prescribed under the Companies (Meetings of Board and its Powers) Rules, 2014.</w:t>
      </w:r>
    </w:p>
    <w:p w14:paraId="418E7391" w14:textId="56E2C032" w:rsidR="009950B3" w:rsidRDefault="009950B3" w:rsidP="009950B3">
      <w:pPr>
        <w:ind w:right="-755"/>
        <w:jc w:val="both"/>
        <w:rPr>
          <w:rFonts w:ascii="Book Antiqua" w:hAnsi="Book Antiqua"/>
          <w:sz w:val="20"/>
          <w:szCs w:val="20"/>
        </w:rPr>
      </w:pPr>
      <w:r>
        <w:rPr>
          <w:rFonts w:ascii="Book Antiqua" w:hAnsi="Book Antiqua"/>
          <w:sz w:val="20"/>
          <w:szCs w:val="20"/>
        </w:rPr>
        <w:t xml:space="preserve">6. </w:t>
      </w:r>
      <w:r w:rsidRPr="009950B3">
        <w:rPr>
          <w:rFonts w:ascii="Book Antiqua" w:hAnsi="Book Antiqua"/>
          <w:sz w:val="20"/>
          <w:szCs w:val="20"/>
        </w:rPr>
        <w:t>Where RPTs require approval of the Board and the shareholders through resolution as per para 4 above,(a)any director who is interested in any contract or arrangement with a related party, shall not be present at the meeting during discussions on the subject-matter of their solution relating to such contract or arrangement and b)all entities falling definition of Related Party(</w:t>
      </w:r>
      <w:proofErr w:type="spellStart"/>
      <w:r w:rsidRPr="009950B3">
        <w:rPr>
          <w:rFonts w:ascii="Book Antiqua" w:hAnsi="Book Antiqua"/>
          <w:sz w:val="20"/>
          <w:szCs w:val="20"/>
        </w:rPr>
        <w:t>ies</w:t>
      </w:r>
      <w:proofErr w:type="spellEnd"/>
      <w:r w:rsidRPr="009950B3">
        <w:rPr>
          <w:rFonts w:ascii="Book Antiqua" w:hAnsi="Book Antiqua"/>
          <w:sz w:val="20"/>
          <w:szCs w:val="20"/>
        </w:rPr>
        <w:t>) shall abstain from voting on such resolution of the shareholders.</w:t>
      </w:r>
    </w:p>
    <w:p w14:paraId="5671EE39" w14:textId="77777777" w:rsidR="009950B3" w:rsidRDefault="009950B3" w:rsidP="009950B3">
      <w:pPr>
        <w:ind w:right="-755"/>
        <w:jc w:val="both"/>
        <w:rPr>
          <w:rFonts w:ascii="Book Antiqua" w:hAnsi="Book Antiqua"/>
          <w:sz w:val="20"/>
          <w:szCs w:val="20"/>
        </w:rPr>
      </w:pPr>
    </w:p>
    <w:p w14:paraId="2FB1DE76" w14:textId="5EA13AAE" w:rsidR="009950B3" w:rsidRDefault="009950B3" w:rsidP="009950B3">
      <w:pPr>
        <w:ind w:right="-755"/>
        <w:jc w:val="both"/>
        <w:rPr>
          <w:rFonts w:ascii="Book Antiqua" w:hAnsi="Book Antiqua"/>
          <w:sz w:val="20"/>
          <w:szCs w:val="20"/>
        </w:rPr>
      </w:pPr>
      <w:r>
        <w:rPr>
          <w:rFonts w:ascii="Book Antiqua" w:hAnsi="Book Antiqua"/>
          <w:sz w:val="20"/>
          <w:szCs w:val="20"/>
        </w:rPr>
        <w:t xml:space="preserve">7. </w:t>
      </w:r>
      <w:r w:rsidRPr="009950B3">
        <w:rPr>
          <w:rFonts w:ascii="Book Antiqua" w:hAnsi="Book Antiqua"/>
          <w:sz w:val="20"/>
          <w:szCs w:val="20"/>
        </w:rPr>
        <w:t>If a Related Party Transaction will be ongoing/ proposed to be entered into by the company, the Committee may grant omnibus approval for ongoing dealings/proposed related party transactions. Such omnibus approval shall specify (</w:t>
      </w:r>
      <w:proofErr w:type="spellStart"/>
      <w:r w:rsidRPr="009950B3">
        <w:rPr>
          <w:rFonts w:ascii="Book Antiqua" w:hAnsi="Book Antiqua"/>
          <w:sz w:val="20"/>
          <w:szCs w:val="20"/>
        </w:rPr>
        <w:t>i</w:t>
      </w:r>
      <w:proofErr w:type="spellEnd"/>
      <w:r w:rsidRPr="009950B3">
        <w:rPr>
          <w:rFonts w:ascii="Book Antiqua" w:hAnsi="Book Antiqua"/>
          <w:sz w:val="20"/>
          <w:szCs w:val="20"/>
        </w:rPr>
        <w:t>) the name/s of the related party, nature of transaction, period of transaction, maximum amount of transaction that can be entered into,</w:t>
      </w:r>
      <w:r>
        <w:rPr>
          <w:rFonts w:ascii="Book Antiqua" w:hAnsi="Book Antiqua"/>
          <w:sz w:val="20"/>
          <w:szCs w:val="20"/>
        </w:rPr>
        <w:t xml:space="preserve"> </w:t>
      </w:r>
      <w:r w:rsidRPr="009950B3">
        <w:rPr>
          <w:rFonts w:ascii="Book Antiqua" w:hAnsi="Book Antiqua"/>
          <w:sz w:val="20"/>
          <w:szCs w:val="20"/>
        </w:rPr>
        <w:t>(ii)the indicative</w:t>
      </w:r>
      <w:r>
        <w:rPr>
          <w:rFonts w:ascii="Book Antiqua" w:hAnsi="Book Antiqua"/>
          <w:sz w:val="20"/>
          <w:szCs w:val="20"/>
        </w:rPr>
        <w:t xml:space="preserve"> </w:t>
      </w:r>
      <w:r w:rsidRPr="009950B3">
        <w:rPr>
          <w:rFonts w:ascii="Book Antiqua" w:hAnsi="Book Antiqua"/>
          <w:sz w:val="20"/>
          <w:szCs w:val="20"/>
        </w:rPr>
        <w:t>base</w:t>
      </w:r>
      <w:r>
        <w:rPr>
          <w:rFonts w:ascii="Book Antiqua" w:hAnsi="Book Antiqua"/>
          <w:sz w:val="20"/>
          <w:szCs w:val="20"/>
        </w:rPr>
        <w:t xml:space="preserve"> </w:t>
      </w:r>
      <w:r w:rsidRPr="009950B3">
        <w:rPr>
          <w:rFonts w:ascii="Book Antiqua" w:hAnsi="Book Antiqua"/>
          <w:sz w:val="20"/>
          <w:szCs w:val="20"/>
        </w:rPr>
        <w:t>price/</w:t>
      </w:r>
      <w:r>
        <w:rPr>
          <w:rFonts w:ascii="Book Antiqua" w:hAnsi="Book Antiqua"/>
          <w:sz w:val="20"/>
          <w:szCs w:val="20"/>
        </w:rPr>
        <w:t xml:space="preserve"> </w:t>
      </w:r>
      <w:r w:rsidRPr="009950B3">
        <w:rPr>
          <w:rFonts w:ascii="Book Antiqua" w:hAnsi="Book Antiqua"/>
          <w:sz w:val="20"/>
          <w:szCs w:val="20"/>
        </w:rPr>
        <w:t>current</w:t>
      </w:r>
      <w:r>
        <w:rPr>
          <w:rFonts w:ascii="Book Antiqua" w:hAnsi="Book Antiqua"/>
          <w:sz w:val="20"/>
          <w:szCs w:val="20"/>
        </w:rPr>
        <w:t xml:space="preserve"> </w:t>
      </w:r>
      <w:r w:rsidRPr="009950B3">
        <w:rPr>
          <w:rFonts w:ascii="Book Antiqua" w:hAnsi="Book Antiqua"/>
          <w:sz w:val="20"/>
          <w:szCs w:val="20"/>
        </w:rPr>
        <w:t>contracted</w:t>
      </w:r>
      <w:r>
        <w:rPr>
          <w:rFonts w:ascii="Book Antiqua" w:hAnsi="Book Antiqua"/>
          <w:sz w:val="20"/>
          <w:szCs w:val="20"/>
        </w:rPr>
        <w:t xml:space="preserve"> </w:t>
      </w:r>
      <w:r w:rsidRPr="009950B3">
        <w:rPr>
          <w:rFonts w:ascii="Book Antiqua" w:hAnsi="Book Antiqua"/>
          <w:sz w:val="20"/>
          <w:szCs w:val="20"/>
        </w:rPr>
        <w:t>price</w:t>
      </w:r>
      <w:r>
        <w:rPr>
          <w:rFonts w:ascii="Book Antiqua" w:hAnsi="Book Antiqua"/>
          <w:sz w:val="20"/>
          <w:szCs w:val="20"/>
        </w:rPr>
        <w:t xml:space="preserve"> </w:t>
      </w:r>
      <w:r w:rsidRPr="009950B3">
        <w:rPr>
          <w:rFonts w:ascii="Book Antiqua" w:hAnsi="Book Antiqua"/>
          <w:sz w:val="20"/>
          <w:szCs w:val="20"/>
        </w:rPr>
        <w:t>and</w:t>
      </w:r>
      <w:r>
        <w:rPr>
          <w:rFonts w:ascii="Book Antiqua" w:hAnsi="Book Antiqua"/>
          <w:sz w:val="20"/>
          <w:szCs w:val="20"/>
        </w:rPr>
        <w:t xml:space="preserve"> </w:t>
      </w:r>
      <w:r w:rsidRPr="009950B3">
        <w:rPr>
          <w:rFonts w:ascii="Book Antiqua" w:hAnsi="Book Antiqua"/>
          <w:sz w:val="20"/>
          <w:szCs w:val="20"/>
        </w:rPr>
        <w:t>the</w:t>
      </w:r>
      <w:r>
        <w:rPr>
          <w:rFonts w:ascii="Book Antiqua" w:hAnsi="Book Antiqua"/>
          <w:sz w:val="20"/>
          <w:szCs w:val="20"/>
        </w:rPr>
        <w:t xml:space="preserve"> </w:t>
      </w:r>
      <w:r w:rsidRPr="009950B3">
        <w:rPr>
          <w:rFonts w:ascii="Book Antiqua" w:hAnsi="Book Antiqua"/>
          <w:sz w:val="20"/>
          <w:szCs w:val="20"/>
        </w:rPr>
        <w:t>formula</w:t>
      </w:r>
      <w:r>
        <w:rPr>
          <w:rFonts w:ascii="Book Antiqua" w:hAnsi="Book Antiqua"/>
          <w:sz w:val="20"/>
          <w:szCs w:val="20"/>
        </w:rPr>
        <w:t xml:space="preserve"> </w:t>
      </w:r>
      <w:r w:rsidRPr="009950B3">
        <w:rPr>
          <w:rFonts w:ascii="Book Antiqua" w:hAnsi="Book Antiqua"/>
          <w:sz w:val="20"/>
          <w:szCs w:val="20"/>
        </w:rPr>
        <w:t>for</w:t>
      </w:r>
      <w:r>
        <w:rPr>
          <w:rFonts w:ascii="Book Antiqua" w:hAnsi="Book Antiqua"/>
          <w:sz w:val="20"/>
          <w:szCs w:val="20"/>
        </w:rPr>
        <w:t xml:space="preserve"> </w:t>
      </w:r>
      <w:r w:rsidRPr="009950B3">
        <w:rPr>
          <w:rFonts w:ascii="Book Antiqua" w:hAnsi="Book Antiqua"/>
          <w:sz w:val="20"/>
          <w:szCs w:val="20"/>
        </w:rPr>
        <w:t>variation</w:t>
      </w:r>
      <w:r>
        <w:rPr>
          <w:rFonts w:ascii="Book Antiqua" w:hAnsi="Book Antiqua"/>
          <w:sz w:val="20"/>
          <w:szCs w:val="20"/>
        </w:rPr>
        <w:t xml:space="preserve"> </w:t>
      </w:r>
      <w:r w:rsidRPr="009950B3">
        <w:rPr>
          <w:rFonts w:ascii="Book Antiqua" w:hAnsi="Book Antiqua"/>
          <w:sz w:val="20"/>
          <w:szCs w:val="20"/>
        </w:rPr>
        <w:t>in</w:t>
      </w:r>
      <w:r>
        <w:rPr>
          <w:rFonts w:ascii="Book Antiqua" w:hAnsi="Book Antiqua"/>
          <w:sz w:val="20"/>
          <w:szCs w:val="20"/>
        </w:rPr>
        <w:t xml:space="preserve"> </w:t>
      </w:r>
      <w:r w:rsidRPr="009950B3">
        <w:rPr>
          <w:rFonts w:ascii="Book Antiqua" w:hAnsi="Book Antiqua"/>
          <w:sz w:val="20"/>
          <w:szCs w:val="20"/>
        </w:rPr>
        <w:t>the</w:t>
      </w:r>
      <w:r>
        <w:rPr>
          <w:rFonts w:ascii="Book Antiqua" w:hAnsi="Book Antiqua"/>
          <w:sz w:val="20"/>
          <w:szCs w:val="20"/>
        </w:rPr>
        <w:t xml:space="preserve"> </w:t>
      </w:r>
      <w:r w:rsidRPr="009950B3">
        <w:rPr>
          <w:rFonts w:ascii="Book Antiqua" w:hAnsi="Book Antiqua"/>
          <w:sz w:val="20"/>
          <w:szCs w:val="20"/>
        </w:rPr>
        <w:t>price</w:t>
      </w:r>
      <w:r>
        <w:rPr>
          <w:rFonts w:ascii="Book Antiqua" w:hAnsi="Book Antiqua"/>
          <w:sz w:val="20"/>
          <w:szCs w:val="20"/>
        </w:rPr>
        <w:t xml:space="preserve"> </w:t>
      </w:r>
      <w:r w:rsidRPr="009950B3">
        <w:rPr>
          <w:rFonts w:ascii="Book Antiqua" w:hAnsi="Book Antiqua"/>
          <w:sz w:val="20"/>
          <w:szCs w:val="20"/>
        </w:rPr>
        <w:t>if</w:t>
      </w:r>
      <w:r>
        <w:rPr>
          <w:rFonts w:ascii="Book Antiqua" w:hAnsi="Book Antiqua"/>
          <w:sz w:val="20"/>
          <w:szCs w:val="20"/>
        </w:rPr>
        <w:t xml:space="preserve"> </w:t>
      </w:r>
      <w:r w:rsidRPr="009950B3">
        <w:rPr>
          <w:rFonts w:ascii="Book Antiqua" w:hAnsi="Book Antiqua"/>
          <w:sz w:val="20"/>
          <w:szCs w:val="20"/>
        </w:rPr>
        <w:t>any</w:t>
      </w:r>
      <w:r>
        <w:rPr>
          <w:rFonts w:ascii="Book Antiqua" w:hAnsi="Book Antiqua"/>
          <w:sz w:val="20"/>
          <w:szCs w:val="20"/>
        </w:rPr>
        <w:t xml:space="preserve"> </w:t>
      </w:r>
      <w:r w:rsidRPr="009950B3">
        <w:rPr>
          <w:rFonts w:ascii="Book Antiqua" w:hAnsi="Book Antiqua"/>
          <w:sz w:val="20"/>
          <w:szCs w:val="20"/>
        </w:rPr>
        <w:t>and (iii)</w:t>
      </w:r>
      <w:r>
        <w:rPr>
          <w:rFonts w:ascii="Book Antiqua" w:hAnsi="Book Antiqua"/>
          <w:sz w:val="20"/>
          <w:szCs w:val="20"/>
        </w:rPr>
        <w:t xml:space="preserve"> </w:t>
      </w:r>
      <w:r w:rsidRPr="009950B3">
        <w:rPr>
          <w:rFonts w:ascii="Book Antiqua" w:hAnsi="Book Antiqua"/>
          <w:sz w:val="20"/>
          <w:szCs w:val="20"/>
        </w:rPr>
        <w:t>such other conditions as the Audit Committee may deem fit.</w:t>
      </w:r>
    </w:p>
    <w:p w14:paraId="0DB92D70" w14:textId="29F09E76" w:rsidR="009950B3" w:rsidRDefault="009950B3" w:rsidP="009950B3">
      <w:pPr>
        <w:ind w:right="-755"/>
        <w:jc w:val="both"/>
        <w:rPr>
          <w:rFonts w:ascii="Book Antiqua" w:hAnsi="Book Antiqua"/>
          <w:sz w:val="20"/>
          <w:szCs w:val="20"/>
        </w:rPr>
      </w:pPr>
      <w:r w:rsidRPr="009950B3">
        <w:rPr>
          <w:rFonts w:ascii="Book Antiqua" w:hAnsi="Book Antiqua"/>
          <w:sz w:val="20"/>
          <w:szCs w:val="20"/>
        </w:rPr>
        <w:t>8. If the need for Related Party Transaction cannot be foreseen and aforesaid details are not available Audit Committee may grant omnibus approval for such transactions subject to their value not exceeding one crore per transaction. The Audit Committee shall lay down the criteria guidelines for granting the omnibus approval in line with the policy on Related Party Transactions of the company. Such approval shall be applicable in respect of transactions which are repetitive in nature and only for one year.</w:t>
      </w:r>
    </w:p>
    <w:p w14:paraId="6EFD129C" w14:textId="5D8C45FD" w:rsidR="009950B3" w:rsidRDefault="009950B3" w:rsidP="009950B3">
      <w:pPr>
        <w:ind w:right="-755"/>
        <w:jc w:val="both"/>
        <w:rPr>
          <w:rFonts w:ascii="Book Antiqua" w:hAnsi="Book Antiqua"/>
          <w:sz w:val="20"/>
          <w:szCs w:val="20"/>
        </w:rPr>
      </w:pPr>
      <w:r w:rsidRPr="009950B3">
        <w:rPr>
          <w:rFonts w:ascii="Book Antiqua" w:hAnsi="Book Antiqua"/>
          <w:sz w:val="20"/>
          <w:szCs w:val="20"/>
        </w:rPr>
        <w:t>9. The Committee shall periodically review and assess on going relationships with the Related Party. Any material amendment, renewal or extension of a transaction, arrangement or relationship previously reviewed under this Policy shall also be subject to subsequent review under this Policy.</w:t>
      </w:r>
    </w:p>
    <w:p w14:paraId="2B313162" w14:textId="037AFCD7" w:rsidR="009950B3" w:rsidRDefault="009950B3" w:rsidP="009950B3">
      <w:pPr>
        <w:ind w:right="-755"/>
        <w:jc w:val="both"/>
        <w:rPr>
          <w:rFonts w:ascii="Book Antiqua" w:hAnsi="Book Antiqua"/>
          <w:sz w:val="20"/>
          <w:szCs w:val="20"/>
        </w:rPr>
      </w:pPr>
      <w:r w:rsidRPr="009950B3">
        <w:rPr>
          <w:rFonts w:ascii="Book Antiqua" w:hAnsi="Book Antiqua"/>
          <w:sz w:val="20"/>
          <w:szCs w:val="20"/>
        </w:rPr>
        <w:t>10. The Audit Committee periodically shall review this Policy once in every three years and may recommend amendments to this Policy from time to time as it deems appropriate.</w:t>
      </w:r>
    </w:p>
    <w:p w14:paraId="6317EF72" w14:textId="46CA3209" w:rsidR="009950B3" w:rsidRDefault="009950B3" w:rsidP="009950B3">
      <w:pPr>
        <w:ind w:right="-755"/>
        <w:jc w:val="both"/>
        <w:rPr>
          <w:rFonts w:ascii="Book Antiqua" w:hAnsi="Book Antiqua"/>
          <w:sz w:val="20"/>
          <w:szCs w:val="20"/>
        </w:rPr>
      </w:pPr>
      <w:r w:rsidRPr="009950B3">
        <w:rPr>
          <w:rFonts w:ascii="Book Antiqua" w:hAnsi="Book Antiqua"/>
          <w:sz w:val="20"/>
          <w:szCs w:val="20"/>
        </w:rPr>
        <w:t>11. This Policy on Related Party Transactions shall be governed by the Companies Act, 2013 read with Rules made thereunder, as may be in force for the time being as well as SEBI (Listing Obligations and Disclosure Requirements) regulation 2015 or such other Rules / Regulations, as may be notified by SEBI from time to time.</w:t>
      </w:r>
    </w:p>
    <w:p w14:paraId="45E1CDB6" w14:textId="77777777" w:rsidR="009950B3" w:rsidRDefault="009950B3" w:rsidP="009950B3">
      <w:pPr>
        <w:ind w:right="-755"/>
        <w:jc w:val="both"/>
        <w:rPr>
          <w:rFonts w:ascii="Book Antiqua" w:hAnsi="Book Antiqua"/>
          <w:sz w:val="20"/>
          <w:szCs w:val="20"/>
        </w:rPr>
      </w:pPr>
    </w:p>
    <w:p w14:paraId="1D37C25C" w14:textId="77777777" w:rsidR="009950B3" w:rsidRPr="009950B3" w:rsidRDefault="009950B3" w:rsidP="009950B3">
      <w:pPr>
        <w:ind w:right="-755"/>
        <w:jc w:val="both"/>
        <w:rPr>
          <w:rFonts w:ascii="Book Antiqua" w:hAnsi="Book Antiqua"/>
          <w:sz w:val="20"/>
          <w:szCs w:val="20"/>
        </w:rPr>
      </w:pPr>
    </w:p>
    <w:p w14:paraId="4BBCE880" w14:textId="77777777" w:rsidR="009950B3" w:rsidRDefault="009950B3" w:rsidP="009950B3">
      <w:pPr>
        <w:ind w:right="-755"/>
        <w:jc w:val="both"/>
        <w:rPr>
          <w:rFonts w:ascii="Book Antiqua" w:hAnsi="Book Antiqua"/>
          <w:sz w:val="20"/>
          <w:szCs w:val="20"/>
        </w:rPr>
      </w:pPr>
    </w:p>
    <w:p w14:paraId="67E55AAB" w14:textId="77777777" w:rsidR="009950B3" w:rsidRDefault="009950B3" w:rsidP="009950B3">
      <w:pPr>
        <w:ind w:right="-755"/>
        <w:jc w:val="both"/>
        <w:rPr>
          <w:rFonts w:ascii="Book Antiqua" w:hAnsi="Book Antiqua"/>
          <w:sz w:val="20"/>
          <w:szCs w:val="20"/>
        </w:rPr>
      </w:pPr>
    </w:p>
    <w:p w14:paraId="43F1F342" w14:textId="77777777" w:rsidR="009950B3" w:rsidRDefault="009950B3" w:rsidP="009950B3">
      <w:pPr>
        <w:ind w:right="-755"/>
        <w:jc w:val="both"/>
        <w:rPr>
          <w:rFonts w:ascii="Book Antiqua" w:hAnsi="Book Antiqua"/>
          <w:sz w:val="20"/>
          <w:szCs w:val="20"/>
        </w:rPr>
      </w:pPr>
    </w:p>
    <w:p w14:paraId="1A8AC434" w14:textId="77777777" w:rsidR="009950B3" w:rsidRPr="00371C9A" w:rsidRDefault="009950B3" w:rsidP="009950B3">
      <w:pPr>
        <w:ind w:right="-755"/>
        <w:jc w:val="both"/>
        <w:rPr>
          <w:rFonts w:ascii="Book Antiqua" w:hAnsi="Book Antiqua"/>
          <w:sz w:val="20"/>
          <w:szCs w:val="20"/>
        </w:rPr>
      </w:pPr>
    </w:p>
    <w:sectPr w:rsidR="009950B3" w:rsidRPr="00371C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14E7C"/>
    <w:multiLevelType w:val="hybridMultilevel"/>
    <w:tmpl w:val="415E39F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A8F44C2"/>
    <w:multiLevelType w:val="hybridMultilevel"/>
    <w:tmpl w:val="1D36232C"/>
    <w:lvl w:ilvl="0" w:tplc="40090019">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730339A"/>
    <w:multiLevelType w:val="hybridMultilevel"/>
    <w:tmpl w:val="AAE830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47497371"/>
    <w:multiLevelType w:val="hybridMultilevel"/>
    <w:tmpl w:val="11AAE96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630C0BB2"/>
    <w:multiLevelType w:val="hybridMultilevel"/>
    <w:tmpl w:val="C11C00E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79213939"/>
    <w:multiLevelType w:val="hybridMultilevel"/>
    <w:tmpl w:val="1B30584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C21457E"/>
    <w:multiLevelType w:val="hybridMultilevel"/>
    <w:tmpl w:val="9046665A"/>
    <w:lvl w:ilvl="0" w:tplc="40090019">
      <w:start w:val="1"/>
      <w:numFmt w:val="lowerLetter"/>
      <w:lvlText w:val="%1."/>
      <w:lvlJc w:val="left"/>
      <w:pPr>
        <w:ind w:left="1146" w:hanging="360"/>
      </w:pPr>
    </w:lvl>
    <w:lvl w:ilvl="1" w:tplc="40090019" w:tentative="1">
      <w:start w:val="1"/>
      <w:numFmt w:val="lowerLetter"/>
      <w:lvlText w:val="%2."/>
      <w:lvlJc w:val="left"/>
      <w:pPr>
        <w:ind w:left="1866" w:hanging="360"/>
      </w:pPr>
    </w:lvl>
    <w:lvl w:ilvl="2" w:tplc="4009001B" w:tentative="1">
      <w:start w:val="1"/>
      <w:numFmt w:val="lowerRoman"/>
      <w:lvlText w:val="%3."/>
      <w:lvlJc w:val="right"/>
      <w:pPr>
        <w:ind w:left="2586" w:hanging="180"/>
      </w:pPr>
    </w:lvl>
    <w:lvl w:ilvl="3" w:tplc="4009000F" w:tentative="1">
      <w:start w:val="1"/>
      <w:numFmt w:val="decimal"/>
      <w:lvlText w:val="%4."/>
      <w:lvlJc w:val="left"/>
      <w:pPr>
        <w:ind w:left="3306" w:hanging="360"/>
      </w:pPr>
    </w:lvl>
    <w:lvl w:ilvl="4" w:tplc="40090019" w:tentative="1">
      <w:start w:val="1"/>
      <w:numFmt w:val="lowerLetter"/>
      <w:lvlText w:val="%5."/>
      <w:lvlJc w:val="left"/>
      <w:pPr>
        <w:ind w:left="4026" w:hanging="360"/>
      </w:pPr>
    </w:lvl>
    <w:lvl w:ilvl="5" w:tplc="4009001B" w:tentative="1">
      <w:start w:val="1"/>
      <w:numFmt w:val="lowerRoman"/>
      <w:lvlText w:val="%6."/>
      <w:lvlJc w:val="right"/>
      <w:pPr>
        <w:ind w:left="4746" w:hanging="180"/>
      </w:pPr>
    </w:lvl>
    <w:lvl w:ilvl="6" w:tplc="4009000F" w:tentative="1">
      <w:start w:val="1"/>
      <w:numFmt w:val="decimal"/>
      <w:lvlText w:val="%7."/>
      <w:lvlJc w:val="left"/>
      <w:pPr>
        <w:ind w:left="5466" w:hanging="360"/>
      </w:pPr>
    </w:lvl>
    <w:lvl w:ilvl="7" w:tplc="40090019" w:tentative="1">
      <w:start w:val="1"/>
      <w:numFmt w:val="lowerLetter"/>
      <w:lvlText w:val="%8."/>
      <w:lvlJc w:val="left"/>
      <w:pPr>
        <w:ind w:left="6186" w:hanging="360"/>
      </w:pPr>
    </w:lvl>
    <w:lvl w:ilvl="8" w:tplc="4009001B" w:tentative="1">
      <w:start w:val="1"/>
      <w:numFmt w:val="lowerRoman"/>
      <w:lvlText w:val="%9."/>
      <w:lvlJc w:val="right"/>
      <w:pPr>
        <w:ind w:left="6906" w:hanging="180"/>
      </w:pPr>
    </w:lvl>
  </w:abstractNum>
  <w:num w:numId="1" w16cid:durableId="1046881041">
    <w:abstractNumId w:val="5"/>
  </w:num>
  <w:num w:numId="2" w16cid:durableId="2112970457">
    <w:abstractNumId w:val="0"/>
  </w:num>
  <w:num w:numId="3" w16cid:durableId="972977263">
    <w:abstractNumId w:val="3"/>
  </w:num>
  <w:num w:numId="4" w16cid:durableId="1469010554">
    <w:abstractNumId w:val="4"/>
  </w:num>
  <w:num w:numId="5" w16cid:durableId="427429330">
    <w:abstractNumId w:val="2"/>
  </w:num>
  <w:num w:numId="6" w16cid:durableId="1528713087">
    <w:abstractNumId w:val="6"/>
  </w:num>
  <w:num w:numId="7" w16cid:durableId="20264431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DD"/>
    <w:rsid w:val="000C7B8A"/>
    <w:rsid w:val="002355C1"/>
    <w:rsid w:val="00274222"/>
    <w:rsid w:val="00343DA3"/>
    <w:rsid w:val="00371C9A"/>
    <w:rsid w:val="004659BE"/>
    <w:rsid w:val="004700DD"/>
    <w:rsid w:val="0051709A"/>
    <w:rsid w:val="009950B3"/>
    <w:rsid w:val="00CA56AB"/>
    <w:rsid w:val="00DF7DFC"/>
    <w:rsid w:val="00E05C6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F40FD"/>
  <w15:chartTrackingRefBased/>
  <w15:docId w15:val="{9860441F-96BA-413A-8549-4F3D47FD8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00D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4700D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4700DD"/>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4700DD"/>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4700DD"/>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4700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0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0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0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0D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4700D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4700D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4700D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4700D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4700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0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0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0DD"/>
    <w:rPr>
      <w:rFonts w:eastAsiaTheme="majorEastAsia" w:cstheme="majorBidi"/>
      <w:color w:val="272727" w:themeColor="text1" w:themeTint="D8"/>
    </w:rPr>
  </w:style>
  <w:style w:type="paragraph" w:styleId="Title">
    <w:name w:val="Title"/>
    <w:basedOn w:val="Normal"/>
    <w:next w:val="Normal"/>
    <w:link w:val="TitleChar"/>
    <w:uiPriority w:val="10"/>
    <w:qFormat/>
    <w:rsid w:val="004700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0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0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0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0DD"/>
    <w:pPr>
      <w:spacing w:before="160"/>
      <w:jc w:val="center"/>
    </w:pPr>
    <w:rPr>
      <w:i/>
      <w:iCs/>
      <w:color w:val="404040" w:themeColor="text1" w:themeTint="BF"/>
    </w:rPr>
  </w:style>
  <w:style w:type="character" w:customStyle="1" w:styleId="QuoteChar">
    <w:name w:val="Quote Char"/>
    <w:basedOn w:val="DefaultParagraphFont"/>
    <w:link w:val="Quote"/>
    <w:uiPriority w:val="29"/>
    <w:rsid w:val="004700DD"/>
    <w:rPr>
      <w:i/>
      <w:iCs/>
      <w:color w:val="404040" w:themeColor="text1" w:themeTint="BF"/>
    </w:rPr>
  </w:style>
  <w:style w:type="paragraph" w:styleId="ListParagraph">
    <w:name w:val="List Paragraph"/>
    <w:basedOn w:val="Normal"/>
    <w:uiPriority w:val="34"/>
    <w:qFormat/>
    <w:rsid w:val="004700DD"/>
    <w:pPr>
      <w:ind w:left="720"/>
      <w:contextualSpacing/>
    </w:pPr>
  </w:style>
  <w:style w:type="character" w:styleId="IntenseEmphasis">
    <w:name w:val="Intense Emphasis"/>
    <w:basedOn w:val="DefaultParagraphFont"/>
    <w:uiPriority w:val="21"/>
    <w:qFormat/>
    <w:rsid w:val="004700DD"/>
    <w:rPr>
      <w:i/>
      <w:iCs/>
      <w:color w:val="2E74B5" w:themeColor="accent1" w:themeShade="BF"/>
    </w:rPr>
  </w:style>
  <w:style w:type="paragraph" w:styleId="IntenseQuote">
    <w:name w:val="Intense Quote"/>
    <w:basedOn w:val="Normal"/>
    <w:next w:val="Normal"/>
    <w:link w:val="IntenseQuoteChar"/>
    <w:uiPriority w:val="30"/>
    <w:qFormat/>
    <w:rsid w:val="004700D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700DD"/>
    <w:rPr>
      <w:i/>
      <w:iCs/>
      <w:color w:val="2E74B5" w:themeColor="accent1" w:themeShade="BF"/>
    </w:rPr>
  </w:style>
  <w:style w:type="character" w:styleId="IntenseReference">
    <w:name w:val="Intense Reference"/>
    <w:basedOn w:val="DefaultParagraphFont"/>
    <w:uiPriority w:val="32"/>
    <w:qFormat/>
    <w:rsid w:val="004700DD"/>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3</Pages>
  <Words>1015</Words>
  <Characters>5788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JSG Singapore</dc:creator>
  <cp:keywords/>
  <dc:description/>
  <cp:lastModifiedBy>JSG Singapore</cp:lastModifiedBy>
  <cp:revision>4</cp:revision>
  <dcterms:created xsi:type="dcterms:W3CDTF">2026-01-28T13:47:00Z</dcterms:created>
  <dcterms:modified xsi:type="dcterms:W3CDTF">2026-01-29T08:27:00Z</dcterms:modified>
</cp:coreProperties>
</file>